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PERSETUJUAN PENGUJIAN KEAMANAN</w:t>
      </w:r>
    </w:p>
    <w:p>
      <w:pPr>
        <w:spacing w:after="200"/>
        <w:jc w:val="center"/>
      </w:pPr>
      <w:r>
        <w:t>Rules of Engagement</w:t>
      </w:r>
    </w:p>
    <w:p>
      <w:pPr>
        <w:spacing w:after="200"/>
        <w:jc w:val="center"/>
      </w:pPr>
      <w:r>
        <w:rPr>
          <w:b w:val="0"/>
          <w:i w:val="0"/>
        </w:rPr>
        <w:t>Nomor: [NOMOR DOKUMEN]</w:t>
      </w:r>
    </w:p>
    <w:p>
      <w:pPr>
        <w:jc w:val="both"/>
      </w:pPr>
      <w:r>
        <w:rPr>
          <w:b w:val="0"/>
          <w:i w:val="0"/>
        </w:rPr>
        <w:t>Pada hari ini [HARI], tanggal [TANGGAL BULAN TAHUN], yang bertanda tangan di bawah ini: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Pihak Pertama (pemilik sistem)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LENGKAP]</w:t>
            </w:r>
          </w:p>
          <w:p>
            <w:pPr>
              <w:spacing w:after="40"/>
            </w:pPr>
            <w:r>
              <w:rPr>
                <w:b w:val="0"/>
              </w:rPr>
              <w:t>Kepala [NAMA PERANGKAT DAERAH]</w:t>
            </w:r>
          </w:p>
          <w:p>
            <w:pPr>
              <w:spacing w:after="40"/>
            </w:pPr>
            <w:r>
              <w:rPr>
                <w:b w:val="0"/>
              </w:rPr>
              <w:t>[ALAMAT PERANGKAT DAERAH]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Pihak Kedua (pelaksana pengujian)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LENGKAP]</w:t>
            </w:r>
          </w:p>
          <w:p>
            <w:pPr>
              <w:spacing w:after="40"/>
            </w:pPr>
            <w:r>
              <w:rPr>
                <w:b w:val="0"/>
              </w:rPr>
              <w:t>Ketua KUTIM-CSIRT, Dinas Komunikasi, Informatika, Statistik dan Persandian Kabupaten Kutai Timur</w:t>
            </w:r>
          </w:p>
          <w:p>
            <w:pPr>
              <w:spacing w:after="40"/>
            </w:pPr>
            <w:r>
              <w:rPr>
                <w:b w:val="0"/>
              </w:rPr>
              <w:t>Jl. Prof. Dr. Sudiatmo (Ex. Dishut), Kawasan Perkantoran Bukit Pelangi, Kec. Sangatta Utara, Kabupaten Kutai Timur, Kalimantan Timur 75683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Dasar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Surat permohonan Pihak Pertama Nomor [NOMOR SURAT] tanggal [TANGGAL] perihal Permohonan Layanan Keamanan Siber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  <w:i w:val="0"/>
        </w:rPr>
        <w:t>Kedua pihak menyepakati ketentuan pengujian keamanan sebagai berikut. Pengujian tidak dimulai sebelum dokumen ini ditandatangani kedua pihak.</w:t>
      </w:r>
    </w:p>
    <w:p>
      <w:pPr>
        <w:pStyle w:val="Heading2"/>
      </w:pPr>
      <w:r>
        <w:t>1. Ruang lingkup aset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567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No</w:t>
            </w:r>
          </w:p>
        </w:tc>
        <w:tc>
          <w:tcPr>
            <w:tcW w:type="dxa" w:w="226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Nama aset</w:t>
            </w:r>
          </w:p>
        </w:tc>
        <w:tc>
          <w:tcPr>
            <w:tcW w:type="dxa" w:w="2835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URL / alamat IP / rentang</w:t>
            </w:r>
          </w:p>
        </w:tc>
        <w:tc>
          <w:tcPr>
            <w:tcW w:type="dxa" w:w="170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Lingkungan</w:t>
            </w:r>
          </w:p>
        </w:tc>
        <w:tc>
          <w:tcPr>
            <w:tcW w:type="dxa" w:w="170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Pengelola</w:t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2268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SISTEM]</w:t>
            </w:r>
          </w:p>
        </w:tc>
        <w:tc>
          <w:tcPr>
            <w:tcW w:type="dxa" w:w="2835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[https://... atau IP]</w:t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[produksi / staging]</w:t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[PD / PIHAK KETIGA]</w:t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268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835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268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835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Dikecualikan dari pengujian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[ASET, FITUR, ATAU URL YANG TIDAK BOLEH DIUJI]</w:t>
            </w:r>
          </w:p>
        </w:tc>
      </w:tr>
    </w:tbl>
    <w:p>
      <w:pPr>
        <w:spacing w:after="40"/>
      </w:pPr>
    </w:p>
    <w:p>
      <w:r>
        <w:rPr>
          <w:b w:val="0"/>
          <w:i/>
          <w:sz w:val="18"/>
        </w:rPr>
        <w:t>Aset yang tidak tercantum pada tabel di atas tidak diuji. Aset lain yang ditemukan selama pengujian hanya dicatat dan diberitahukan kepada Pihak Pertama.</w:t>
      </w:r>
    </w:p>
    <w:p>
      <w:pPr>
        <w:pStyle w:val="Heading2"/>
      </w:pPr>
      <w:r>
        <w:t>2. Jenis pengujian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Jenis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☐ Vulnerability assessment</w:t>
            </w:r>
          </w:p>
          <w:p>
            <w:pPr>
              <w:spacing w:after="40"/>
            </w:pPr>
            <w:r>
              <w:rPr>
                <w:b w:val="0"/>
              </w:rPr>
              <w:t>☐ Pentest tanpa akun (black-box)</w:t>
            </w:r>
          </w:p>
          <w:p>
            <w:pPr>
              <w:spacing w:after="40"/>
            </w:pPr>
            <w:r>
              <w:rPr>
                <w:b w:val="0"/>
              </w:rPr>
              <w:t>☐ Pentest dengan akun uji (gray-box)</w:t>
            </w:r>
          </w:p>
          <w:p>
            <w:pPr>
              <w:spacing w:after="40"/>
            </w:pPr>
            <w:r>
              <w:rPr>
                <w:b w:val="0"/>
              </w:rPr>
              <w:t>☐ Asesmen konfigurasi</w:t>
            </w:r>
          </w:p>
          <w:p>
            <w:pPr>
              <w:spacing w:after="40"/>
            </w:pPr>
            <w:r>
              <w:rPr>
                <w:b w:val="0"/>
              </w:rPr>
              <w:t>☐ Retest atas laporan nomor [NOMOR LAPORAN]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Akun uji yang disediakan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AKUN / PERAN], diserahkan melalui [CARA PENYERAHAN]</w:t>
            </w:r>
          </w:p>
        </w:tc>
      </w:tr>
    </w:tbl>
    <w:p>
      <w:pPr>
        <w:spacing w:after="40"/>
      </w:pPr>
    </w:p>
    <w:p>
      <w:pPr>
        <w:pStyle w:val="Heading2"/>
      </w:pPr>
      <w:r>
        <w:t>3. Jendela waktu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Tanggal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[TANGGAL MULAI] sampai [TANGGAL SELESAI]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Jam (WITA)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[JAM MULAI] sampai [JAM SELESAI]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Alamat IP sumber pengujian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[ALAMAT IP PIHAK KEDUA]</w:t>
            </w:r>
          </w:p>
        </w:tc>
      </w:tr>
    </w:tbl>
    <w:p>
      <w:pPr>
        <w:spacing w:after="40"/>
      </w:pPr>
    </w:p>
    <w:p>
      <w:r>
        <w:rPr>
          <w:b w:val="0"/>
          <w:i/>
          <w:sz w:val="18"/>
        </w:rPr>
        <w:t>Perubahan atau perpanjangan jendela waktu hanya berlaku bila disepakati secara tertulis (email dinas) oleh kedua pihak.</w:t>
      </w:r>
    </w:p>
    <w:p>
      <w:pPr>
        <w:pStyle w:val="Heading2"/>
      </w:pPr>
      <w:r>
        <w:t>4. Batasan pengujian</w:t>
      </w:r>
    </w:p>
    <w:p>
      <w:r>
        <w:rPr>
          <w:b w:val="0"/>
          <w:i w:val="0"/>
        </w:rPr>
        <w:t>Selama pengujian, Pihak Kedua:</w:t>
      </w:r>
    </w:p>
    <w:p>
      <w:pPr>
        <w:pStyle w:val="ListBullet"/>
        <w:spacing w:after="40"/>
      </w:pPr>
      <w:r>
        <w:t>tidak melakukan serangan penolakan layanan (DoS/DDoS), stress test, atau pengujian yang membebani sistem secara berlebihan;</w:t>
      </w:r>
    </w:p>
    <w:p>
      <w:pPr>
        <w:pStyle w:val="ListBullet"/>
        <w:spacing w:after="40"/>
      </w:pPr>
      <w:r>
        <w:t>tidak mengubah, menghapus, atau merusak data produksi; data uji yang dibuat dicatat dan dihapus setelah pengujian;</w:t>
      </w:r>
    </w:p>
    <w:p>
      <w:pPr>
        <w:pStyle w:val="ListBullet"/>
        <w:spacing w:after="40"/>
      </w:pPr>
      <w:r>
        <w:t>tidak mengakses, mengunduh, atau menyimpan data pribadi atau informasi rahasia melebihi yang diperlukan untuk membuktikan kerentanan;</w:t>
      </w:r>
    </w:p>
    <w:p>
      <w:pPr>
        <w:pStyle w:val="ListBullet"/>
        <w:spacing w:after="40"/>
      </w:pPr>
      <w:r>
        <w:t>menghentikan eksploitasi pada tingkat proof of concept dan tidak berpindah ke aset di luar lingkup;</w:t>
      </w:r>
    </w:p>
    <w:p>
      <w:pPr>
        <w:pStyle w:val="ListBullet"/>
        <w:spacing w:after="40"/>
      </w:pPr>
      <w:r>
        <w:t>tidak meninggalkan backdoor, webshell, atau akun yang tidak tercatat; artefak uji dihapus setelah pengujian;</w:t>
      </w:r>
    </w:p>
    <w:p>
      <w:pPr>
        <w:pStyle w:val="ListBullet"/>
        <w:spacing w:after="40"/>
      </w:pPr>
      <w:r>
        <w:t>tidak melakukan rekayasa sosial, phishing terhadap pegawai, atau pengujian fisik;</w:t>
      </w:r>
    </w:p>
    <w:p>
      <w:pPr>
        <w:pStyle w:val="ListBullet"/>
        <w:spacing w:after="40"/>
      </w:pPr>
      <w:r>
        <w:t>mematuhi batasan tambahan dari Pihak Pertama: [BATASAN TAMBAHAN, bila ada].</w:t>
      </w:r>
    </w:p>
    <w:p>
      <w:pPr>
        <w:pStyle w:val="Heading2"/>
      </w:pPr>
      <w:r>
        <w:t>5. Kewajiban Pihak Pertama</w:t>
      </w:r>
    </w:p>
    <w:p>
      <w:pPr>
        <w:pStyle w:val="ListBullet"/>
        <w:spacing w:after="40"/>
      </w:pPr>
      <w:r>
        <w:t>membuat backup aset yang diuji sebelum jendela pengujian dimulai;</w:t>
      </w:r>
    </w:p>
    <w:p>
      <w:pPr>
        <w:pStyle w:val="ListBullet"/>
        <w:spacing w:after="40"/>
      </w:pPr>
      <w:r>
        <w:t>menyediakan akun uji bila pengujian dilakukan dengan login;</w:t>
      </w:r>
    </w:p>
    <w:p>
      <w:pPr>
        <w:pStyle w:val="ListBullet"/>
        <w:spacing w:after="40"/>
      </w:pPr>
      <w:r>
        <w:t>memberi tahu pihak ketiga pengelola aset tentang jendela pengujian dan, bila aset dikelola pihak ketiga, memastikan izin pihak ketiga telah diperoleh;</w:t>
      </w:r>
    </w:p>
    <w:p>
      <w:pPr>
        <w:pStyle w:val="ListBullet"/>
        <w:spacing w:after="40"/>
      </w:pPr>
      <w:r>
        <w:t>memastikan narahubung darurat dapat dihubungi selama jendela pengujian.</w:t>
      </w:r>
    </w:p>
    <w:p>
      <w:pPr>
        <w:pStyle w:val="Heading2"/>
      </w:pPr>
      <w:r>
        <w:t>6. Narahubung darurat dan penghentian pengujian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474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Pihak</w:t>
            </w:r>
          </w:p>
        </w:tc>
        <w:tc>
          <w:tcPr>
            <w:tcW w:type="dxa" w:w="204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Nama</w:t>
            </w:r>
          </w:p>
        </w:tc>
        <w:tc>
          <w:tcPr>
            <w:tcW w:type="dxa" w:w="1814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Jabatan</w:t>
            </w:r>
          </w:p>
        </w:tc>
        <w:tc>
          <w:tcPr>
            <w:tcW w:type="dxa" w:w="170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Telepon / HP</w:t>
            </w:r>
          </w:p>
        </w:tc>
        <w:tc>
          <w:tcPr>
            <w:tcW w:type="dxa" w:w="204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Email</w:t>
            </w:r>
          </w:p>
        </w:tc>
      </w:tr>
      <w:tr>
        <w:trPr>
          <w:trHeight w:val="453" w:hRule="atLeast"/>
        </w:trPr>
        <w:tc>
          <w:tcPr>
            <w:tcW w:type="dxa" w:w="1474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Pertama</w:t>
            </w:r>
          </w:p>
        </w:tc>
        <w:tc>
          <w:tcPr>
            <w:tcW w:type="dxa" w:w="204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[NAMA]</w:t>
            </w:r>
          </w:p>
        </w:tc>
        <w:tc>
          <w:tcPr>
            <w:tcW w:type="dxa" w:w="1814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[JABATAN]</w:t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[NOMOR]</w:t>
            </w:r>
          </w:p>
        </w:tc>
        <w:tc>
          <w:tcPr>
            <w:tcW w:type="dxa" w:w="204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[EMAIL]</w:t>
            </w:r>
          </w:p>
        </w:tc>
      </w:tr>
      <w:tr>
        <w:trPr>
          <w:trHeight w:val="453" w:hRule="atLeast"/>
        </w:trPr>
        <w:tc>
          <w:tcPr>
            <w:tcW w:type="dxa" w:w="1474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Kedua</w:t>
            </w:r>
          </w:p>
        </w:tc>
        <w:tc>
          <w:tcPr>
            <w:tcW w:type="dxa" w:w="204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[NAMA]</w:t>
            </w:r>
          </w:p>
        </w:tc>
        <w:tc>
          <w:tcPr>
            <w:tcW w:type="dxa" w:w="1814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[JABATAN]</w:t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[NOMOR]</w:t>
            </w:r>
          </w:p>
        </w:tc>
        <w:tc>
          <w:tcPr>
            <w:tcW w:type="dxa" w:w="204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[EMAIL]</w:t>
            </w:r>
          </w:p>
        </w:tc>
      </w:tr>
    </w:tbl>
    <w:p>
      <w:pPr>
        <w:spacing w:after="40"/>
      </w:pPr>
    </w:p>
    <w:p>
      <w:pPr>
        <w:pStyle w:val="ListBullet"/>
        <w:spacing w:after="40"/>
      </w:pPr>
      <w:r>
        <w:t>Pengujian dihentikan bila layanan terganggu, bila diminta Pihak Pertama melalui narahubung darurat, atau bila ditemukan tanda sistem sudah terkompromi. Dalam hal terakhir, kejadian ditangani sebagai insiden sesuai SOP-KUTIMCSIRT-01.</w:t>
      </w:r>
    </w:p>
    <w:p>
      <w:pPr>
        <w:pStyle w:val="ListBullet"/>
        <w:spacing w:after="40"/>
      </w:pPr>
      <w:r>
        <w:t>Temuan kritis disampaikan segera kepada narahubung Pihak Pertama tanpa menunggu laporan akhir.</w:t>
      </w:r>
    </w:p>
    <w:p>
      <w:pPr>
        <w:pStyle w:val="Heading2"/>
      </w:pPr>
      <w:r>
        <w:t>7. Kerahasiaan hasil</w:t>
      </w:r>
    </w:p>
    <w:p>
      <w:pPr>
        <w:pStyle w:val="ListBullet"/>
        <w:spacing w:after="40"/>
      </w:pPr>
      <w:r>
        <w:t>Laporan hasil pengujian berlabel TLP:AMBER dan disampaikan kepada Kepala Perangkat Daerah dan narahubung teknis Pihak Pertama melalui kanal resmi.</w:t>
      </w:r>
    </w:p>
    <w:p>
      <w:pPr>
        <w:pStyle w:val="ListBullet"/>
        <w:spacing w:after="40"/>
      </w:pPr>
      <w:r>
        <w:t>Pihak Pertama dapat membagikan laporan kepada pihak ketiga pengelola aset sebatas yang diperlukan untuk perbaikan. Laporan tidak dipublikasikan oleh kedua pihak.</w:t>
      </w:r>
    </w:p>
    <w:p>
      <w:pPr>
        <w:pStyle w:val="ListBullet"/>
        <w:spacing w:after="40"/>
      </w:pPr>
      <w:r>
        <w:t>Data yang diperoleh selama pengujian disimpan Pihak Kedua dengan akses terbatas dan diproses sesuai Undang-Undang Nomor 27 Tahun 2022 tentang Pelindungan Data Pribadi.</w:t>
      </w:r>
    </w:p>
    <w:p>
      <w:pPr>
        <w:pStyle w:val="Heading2"/>
      </w:pPr>
      <w:r>
        <w:t>8. Laporan dan retest</w:t>
      </w:r>
    </w:p>
    <w:p>
      <w:pPr>
        <w:pStyle w:val="ListBullet"/>
        <w:spacing w:after="40"/>
      </w:pPr>
      <w:r>
        <w:t>Pihak Kedua menyampaikan laporan hasil berisi ruang lingkup, metode, temuan beserta tingkat risiko dan bukti, serta rekomendasi perbaikan.</w:t>
      </w:r>
    </w:p>
    <w:p>
      <w:pPr>
        <w:pStyle w:val="ListBullet"/>
        <w:spacing w:after="40"/>
      </w:pPr>
      <w:r>
        <w:t>Retest dilakukan atas permintaan Pihak Pertama, terbatas pada temuan dalam laporan, dalam jendela waktu dokumen ini atau berdasarkan persetujuan baru.</w:t>
      </w:r>
    </w:p>
    <w:p>
      <w:pPr>
        <w:pStyle w:val="Heading2"/>
      </w:pPr>
      <w:r>
        <w:t>9. Pernyataan</w:t>
      </w:r>
    </w:p>
    <w:p>
      <w:pPr>
        <w:spacing w:after="280"/>
        <w:jc w:val="both"/>
      </w:pPr>
      <w:r>
        <w:rPr>
          <w:b w:val="0"/>
          <w:i w:val="0"/>
        </w:rPr>
        <w:t>Pihak Pertama menyatakan berwenang atas aset dalam ruang lingkup dan memberi izin kepada Pihak Kedua untuk melakukan pengujian sesuai ketentuan dalam dokumen ini. Dokumen ini dibuat dalam rangkap 2 (dua) dan masing-masing pihak memegang satu rangkap.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spacing w:after="0"/>
              <w:jc w:val="center"/>
            </w:pPr>
            <w:r/>
            <w:r>
              <w:t>Pihak Pertama</w:t>
            </w:r>
          </w:p>
          <w:p>
            <w:pPr>
              <w:spacing w:after="0"/>
              <w:jc w:val="center"/>
            </w:pPr>
            <w:r>
              <w:t>Kepala [NAMA PERANGKAT DAERAH]</w:t>
            </w:r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>
              <w:t>[tanda tangan dan stempel]</w:t>
            </w:r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>
              <w:rPr>
                <w:b/>
                <w:u w:val="single"/>
              </w:rPr>
              <w:t>[NAMA LENGKAP]</w:t>
            </w:r>
          </w:p>
          <w:p>
            <w:pPr>
              <w:spacing w:after="0"/>
              <w:jc w:val="center"/>
            </w:pPr>
            <w:r>
              <w:t>NIP [NIP]</w:t>
            </w:r>
          </w:p>
        </w:tc>
        <w:tc>
          <w:tcPr>
            <w:tcW w:type="dxa" w:w="4535"/>
          </w:tcPr>
          <w:p>
            <w:pPr>
              <w:spacing w:after="0"/>
              <w:jc w:val="center"/>
            </w:pPr>
            <w:r/>
            <w:r>
              <w:t>Pihak Kedua</w:t>
            </w:r>
          </w:p>
          <w:p>
            <w:pPr>
              <w:spacing w:after="0"/>
              <w:jc w:val="center"/>
            </w:pPr>
            <w:r>
              <w:t>Ketua KUTIM-CSIRT</w:t>
            </w:r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>
              <w:t>[tanda tangan dan stempel]</w:t>
            </w:r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>
              <w:rPr>
                <w:b/>
                <w:u w:val="single"/>
              </w:rPr>
              <w:t>[NAMA LENGKAP]</w:t>
            </w:r>
          </w:p>
          <w:p>
            <w:pPr>
              <w:spacing w:after="0"/>
              <w:jc w:val="center"/>
            </w:pPr>
            <w:r>
              <w:t>NIP [NIP]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8"/>
      </w:rPr>
      <w:t>KUTIM-CSIRT · versi 1.0 · 5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76" w:lineRule="auto"/>
    </w:pPr>
    <w:rPr>
      <w:rFonts w:ascii="Arial" w:hAnsi="Arial" w:cs="Arial" w:eastAsia="Arial"/>
      <w:sz w:val="2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Arial" w:hAnsi="Arial" w:cs="Arial" w:eastAsia="Arial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Arial" w:hAnsi="Arial" w:cs="Arial" w:eastAsia="Arial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Persetujuan Pengujian Keamanan</dc:title>
  <dc:subject/>
  <dc:creator>KUTIM-CSIRT</dc:creator>
  <cp:keywords/>
  <dc:description>Template versi 1.0, 5 Oktober 2026</dc:description>
  <cp:lastModifiedBy/>
  <cp:revision>1</cp:revision>
  <dcterms:created xsi:type="dcterms:W3CDTF">2013-12-23T23:15:00Z</dcterms:created>
  <dcterms:modified xsi:type="dcterms:W3CDTF">2013-12-23T23:15:00Z</dcterms:modified>
  <cp:category/>
  <dc:language>id-ID</dc:language>
</cp:coreProperties>
</file>